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оказания услуг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«Исполнитель»,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Перечень действий, объём, место и формат услуг: </w:t>
      </w:r>
      <w:r>
        <w:rPr>
          <w:color w:val="245878"/>
        </w:rPr>
        <w:t>[подробное задание]</w:t>
      </w:r>
      <w:r>
        <w:t xml:space="preserve">. Результат предоставляется в виде </w:t>
      </w:r>
      <w:r>
        <w:rPr>
          <w:color w:val="245878"/>
        </w:rPr>
        <w:t>[отчёт/документы/иной согласованный результат]</w:t>
      </w:r>
      <w:r>
        <w:t>.</w:t>
      </w:r>
    </w:p>
    <w:p>
      <w:r>
        <w:t>Дополнительные услуги не входят в цену автоматически и предварительно согласуются.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Исполнитель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Периодичность отчётности и актов: </w:t>
      </w:r>
      <w:r>
        <w:rPr>
          <w:color w:val="245878"/>
        </w:rPr>
        <w:t>[по этапам/ежемесячно/после завершения]</w:t>
      </w:r>
      <w:r>
        <w:t>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Исполнитель: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Услуги по заданию заказчика.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https://sofur.ru/document-services-agreement.html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