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хранения имущества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«Хранитель»,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«Поклажедатель», заключили настоящий договор о нижеследующем.</w:t>
      </w:r>
    </w:p>
    <w:p>
      <w:pPr>
        <w:pStyle w:val="Heading1"/>
      </w:pPr>
      <w:r>
        <w:t>2. Имущество и передача</w:t>
      </w:r>
    </w:p>
    <w:p>
      <w:r>
        <w:t xml:space="preserve">Хранитель принимает имущество </w:t>
      </w:r>
      <w:r>
        <w:rPr>
          <w:color w:val="245878"/>
        </w:rPr>
        <w:t>[перечень, идентификаторы, количество, состояние, упаковка]</w:t>
      </w:r>
      <w:r>
        <w:t xml:space="preserve"> по акту и обязуется обеспечить сохранность и возвратить его Поклажедателю.</w:t>
      </w:r>
    </w:p>
    <w:p>
      <w:r>
        <w:t xml:space="preserve">Место хранения: </w:t>
      </w:r>
      <w:r>
        <w:rPr>
          <w:color w:val="245878"/>
        </w:rPr>
        <w:t>[адрес]</w:t>
      </w:r>
      <w:r>
        <w:t xml:space="preserve">. Особые свойства и условия: </w:t>
      </w:r>
      <w:r>
        <w:rPr>
          <w:color w:val="245878"/>
        </w:rPr>
        <w:t>[температура, влажность, ограничения доступа]</w:t>
      </w:r>
      <w:r>
        <w:t xml:space="preserve">. Оценка для учёта: </w:t>
      </w:r>
      <w:r>
        <w:rPr>
          <w:color w:val="245878"/>
        </w:rPr>
        <w:t>[сумма, способ определения]</w:t>
      </w:r>
      <w:r>
        <w:t>; она сама по себе не ограничивает ответственность.</w:t>
      </w:r>
    </w:p>
    <w:p>
      <w:pPr>
        <w:pStyle w:val="Heading1"/>
      </w:pPr>
      <w:r>
        <w:t>3. Срок и стоимость</w:t>
      </w:r>
    </w:p>
    <w:p>
      <w:r>
        <w:t xml:space="preserve">Срок: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[дата/момент востребования]</w:t>
      </w:r>
      <w:r>
        <w:t xml:space="preserve">. Хранение </w:t>
      </w:r>
      <w:r>
        <w:rPr>
          <w:color w:val="245878"/>
        </w:rPr>
        <w:t>[возмездное/безвозмездное]</w:t>
      </w:r>
      <w:r>
        <w:t xml:space="preserve">. Вознаграждение и расходы: </w:t>
      </w:r>
      <w:r>
        <w:rPr>
          <w:color w:val="245878"/>
        </w:rPr>
        <w:t>[размер, период, НДС, срок оплаты]</w:t>
      </w:r>
      <w:r>
        <w:t>.</w:t>
      </w:r>
    </w:p>
    <w:p>
      <w:r>
        <w:t>Хранитель не пользуется имуществом и не передаёт его третьим лицам, кроме согласованных или предусмотренных законом случаев. Об изменении условий и угрозах сохранности сообщает Поклажедателю.</w:t>
      </w:r>
    </w:p>
    <w:p>
      <w:pPr>
        <w:pStyle w:val="Heading1"/>
      </w:pPr>
      <w:r>
        <w:t>4. Возврат</w:t>
      </w:r>
    </w:p>
    <w:p>
      <w:r>
        <w:t xml:space="preserve">Возврат производится по требованию надлежащего лица с оформлением акта. Полномочия получателя: </w:t>
      </w:r>
      <w:r>
        <w:rPr>
          <w:color w:val="245878"/>
        </w:rPr>
        <w:t>[порядок проверки]</w:t>
      </w:r>
      <w:r>
        <w:t>. Расхождения и повреждения фиксируются.</w:t>
      </w:r>
    </w:p>
    <w:p>
      <w:r>
        <w:t>Невостребованное имущество, досрочный возврат, возмещение потерь и расходов рассматриваются по закону. Самовольное присвоение имущества не допускается.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Хранитель: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Поклажедатель: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7. Опись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Имущество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Состояние / упаковка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Особые условия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Хранение определённого имущества с последующим возвратом той же вещи.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складских свидетельств, опасных вещей, профессионального и специального хранения требуется иной набор условий.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https://sofur.ru/document-storage.html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хранения имущества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