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ШАБЛОН ДЛЯ ЗАПОЛНЕНИЯ</w:t>
      </w:r>
    </w:p>
    <w:p>
      <w:pPr>
        <w:pStyle w:val="Title"/>
      </w:pPr>
      <w:r>
        <w:t>Договор купли-продажи гаража</w:t>
      </w:r>
    </w:p>
    <w:p>
      <w:r>
        <w:rPr>
          <w:sz w:val="18"/>
        </w:rPr>
        <w:t>Редакционный шаблон для заполнения, не индивидуальное юридическое заключение. До подписания или подачи проверьте применимость, действующие требования и все условия со специалистом.</w:t>
      </w:r>
    </w:p>
    <w:p>
      <w:r>
        <w:t xml:space="preserve">Место составления: </w:t>
      </w:r>
      <w:r>
        <w:rPr>
          <w:color w:val="245878"/>
        </w:rPr>
        <w:t>[населённый пункт]</w:t>
      </w:r>
      <w:r>
        <w:t xml:space="preserve">. Дата: </w:t>
      </w:r>
      <w:r>
        <w:rPr>
          <w:color w:val="245878"/>
        </w:rPr>
        <w:t>[дд.мм.гггг]</w:t>
      </w:r>
      <w:r>
        <w:t xml:space="preserve">. Номер при наличии: </w:t>
      </w:r>
      <w:r>
        <w:rPr>
          <w:color w:val="245878"/>
        </w:rPr>
        <w:t>[номер]</w:t>
      </w:r>
      <w:r>
        <w:t>.</w:t>
      </w:r>
    </w:p>
    <w:p>
      <w:pPr>
        <w:pStyle w:val="Heading1"/>
      </w:pPr>
      <w:r>
        <w:t>1. Стороны</w:t>
      </w:r>
    </w:p>
    <w:p>
      <w:r/>
      <w:r>
        <w:rPr>
          <w:color w:val="245878"/>
        </w:rPr>
        <w:t>[наименование/Ф.И.О., ИНН, ОГРН/ОГРНИП при наличии, адрес, представитель и основание полномочий]</w:t>
      </w:r>
      <w:r>
        <w:t xml:space="preserve">, именуемый(ая) «Продавец», и </w:t>
      </w:r>
      <w:r>
        <w:rPr>
          <w:color w:val="245878"/>
        </w:rPr>
        <w:t>[наименование/Ф.И.О., ИНН, ОГРН/ОГРНИП при наличии, адрес, представитель и основание полномочий]</w:t>
      </w:r>
      <w:r>
        <w:t>, именуемый(ая) «Покупатель», заключили настоящий договор о нижеследующем.</w:t>
      </w:r>
    </w:p>
    <w:p>
      <w:pPr>
        <w:pStyle w:val="Heading1"/>
      </w:pPr>
      <w:r>
        <w:t>2. Предмет</w:t>
      </w:r>
    </w:p>
    <w:p>
      <w:r>
        <w:t>Продавец обязуется передать в собственность Покупателю гараж как самостоятельный объект недвижимости, а Покупатель принять объект и уплатить цену.</w:t>
      </w:r>
    </w:p>
    <w:p>
      <w:r>
        <w:t xml:space="preserve">Гараж: </w:t>
      </w:r>
      <w:r>
        <w:rPr>
          <w:color w:val="245878"/>
        </w:rPr>
        <w:t>[адрес, кадастровый номер, площадь, назначение]</w:t>
      </w:r>
      <w:r>
        <w:t xml:space="preserve">. Запись права в ЕГРН: </w:t>
      </w:r>
      <w:r>
        <w:rPr>
          <w:color w:val="245878"/>
        </w:rPr>
        <w:t>[номер, дата]</w:t>
      </w:r>
      <w:r>
        <w:t>.</w:t>
      </w:r>
    </w:p>
    <w:p>
      <w:r>
        <w:t xml:space="preserve">Право Продавца зарегистрировано: </w:t>
      </w:r>
      <w:r>
        <w:rPr>
          <w:color w:val="245878"/>
        </w:rPr>
        <w:t>[номер записи, дата, документ-основание]</w:t>
      </w:r>
      <w:r>
        <w:t xml:space="preserve">. Актуальные сведения ЕГРН: </w:t>
      </w:r>
      <w:r>
        <w:rPr>
          <w:color w:val="245878"/>
        </w:rPr>
        <w:t>[дата выписки]</w:t>
      </w:r>
      <w:r>
        <w:t>.</w:t>
      </w:r>
    </w:p>
    <w:p>
      <w:r>
        <w:t xml:space="preserve">Земельный участок под гаражом и право его использования: </w:t>
      </w:r>
      <w:r>
        <w:rPr>
          <w:color w:val="245878"/>
        </w:rPr>
        <w:t>[кадастровый номер, право, подтверждающий документ]</w:t>
      </w:r>
      <w:r>
        <w:t xml:space="preserve">. Обязательства перед кооперативом и ограничения: </w:t>
      </w:r>
      <w:r>
        <w:rPr>
          <w:color w:val="245878"/>
        </w:rPr>
        <w:t>[сведения]</w:t>
      </w:r>
      <w:r>
        <w:t>.</w:t>
      </w:r>
    </w:p>
    <w:p>
      <w:pPr>
        <w:pStyle w:val="Heading1"/>
      </w:pPr>
      <w:r>
        <w:t>3. Цена и расчёты</w:t>
      </w:r>
    </w:p>
    <w:p>
      <w:r>
        <w:t xml:space="preserve">Общая цена: </w:t>
      </w:r>
      <w:r>
        <w:rPr>
          <w:color w:val="245878"/>
        </w:rPr>
        <w:t>[сумма цифрами и прописью]</w:t>
      </w:r>
      <w:r>
        <w:t xml:space="preserve"> рублей. Для нескольких объектов цена каждого: </w:t>
      </w:r>
      <w:r>
        <w:rPr>
          <w:color w:val="245878"/>
        </w:rPr>
        <w:t>[объект — цена]</w:t>
      </w:r>
      <w:r>
        <w:t>. Изменение цены допускается только по письменному соглашению.</w:t>
      </w:r>
    </w:p>
    <w:p>
      <w:r>
        <w:t xml:space="preserve">Способ безопасных расчётов: </w:t>
      </w:r>
      <w:r>
        <w:rPr>
          <w:color w:val="245878"/>
        </w:rPr>
        <w:t>[аккредитив / счёт эскроу / иной согласованный способ]</w:t>
      </w:r>
      <w:r>
        <w:t xml:space="preserve">. Плательщик, получатель и реквизиты: </w:t>
      </w:r>
      <w:r>
        <w:rPr>
          <w:color w:val="245878"/>
        </w:rPr>
        <w:t>[сведения]</w:t>
      </w:r>
      <w:r>
        <w:t xml:space="preserve">. Внесение средств: </w:t>
      </w:r>
      <w:r>
        <w:rPr>
          <w:color w:val="245878"/>
        </w:rPr>
        <w:t>[срок]</w:t>
      </w:r>
      <w:r>
        <w:t xml:space="preserve">. Условия раскрытия/перечисления: </w:t>
      </w:r>
      <w:r>
        <w:rPr>
          <w:color w:val="245878"/>
        </w:rPr>
        <w:t>[исчерпывающий перечень документов и событий]</w:t>
      </w:r>
      <w:r>
        <w:t>.</w:t>
      </w:r>
    </w:p>
    <w:p>
      <w:r>
        <w:t xml:space="preserve">Если переход права не зарегистрирован, порядок возврата денег: </w:t>
      </w:r>
      <w:r>
        <w:rPr>
          <w:color w:val="245878"/>
        </w:rPr>
        <w:t>[условия и срок]</w:t>
      </w:r>
      <w:r>
        <w:t>. Получение оплаты подтверждается отдельными платёжными документами, а не фактом подписания договора.</w:t>
      </w:r>
    </w:p>
    <w:p>
      <w:pPr>
        <w:pStyle w:val="Heading1"/>
      </w:pPr>
      <w:r>
        <w:t>4. Состояние и правовые обстоятельства</w:t>
      </w:r>
    </w:p>
    <w:p>
      <w:r>
        <w:t xml:space="preserve">Известные дефекты, переустройства, права третьих лиц, аренда, залоги, судебные споры и запреты: </w:t>
      </w:r>
      <w:r>
        <w:rPr>
          <w:color w:val="245878"/>
        </w:rPr>
        <w:t>[перечень / подтверждённое отсутствие]</w:t>
      </w:r>
      <w:r>
        <w:t>.</w:t>
      </w:r>
    </w:p>
    <w:p>
      <w:r>
        <w:t xml:space="preserve">Согласия супруга, сособственников, органов опеки и иные необходимые документы: </w:t>
      </w:r>
      <w:r>
        <w:rPr>
          <w:color w:val="245878"/>
        </w:rPr>
        <w:t>[перечень и реквизиты либо основания неприменимости]</w:t>
      </w:r>
      <w:r>
        <w:t>. Каждая сторона сообщает известные обстоятельства, способные препятствовать сделке.</w:t>
      </w:r>
    </w:p>
    <w:p>
      <w:pPr>
        <w:pStyle w:val="Heading1"/>
      </w:pPr>
      <w:r>
        <w:t>5. Передача и регистрация</w:t>
      </w:r>
    </w:p>
    <w:p>
      <w:r>
        <w:t xml:space="preserve">Фактическая передача и освобождение объекта: </w:t>
      </w:r>
      <w:r>
        <w:rPr>
          <w:color w:val="245878"/>
        </w:rPr>
        <w:t>[дата/срок]</w:t>
      </w:r>
      <w:r>
        <w:t>. Состояние, ключи, документы и показания приборов фиксируются отдельным актом.</w:t>
      </w:r>
    </w:p>
    <w:p>
      <w:r>
        <w:t xml:space="preserve">Стороны подают документы на государственную регистрацию перехода права в срок </w:t>
      </w:r>
      <w:r>
        <w:rPr>
          <w:color w:val="245878"/>
        </w:rPr>
        <w:t>[срок]</w:t>
      </w:r>
      <w:r>
        <w:t xml:space="preserve">. Расходы несёт </w:t>
      </w:r>
      <w:r>
        <w:rPr>
          <w:color w:val="245878"/>
        </w:rPr>
        <w:t>[сторона/распределение]</w:t>
      </w:r>
      <w:r>
        <w:t>. Право собственности Покупателя возникает после государственной регистрации.</w:t>
      </w:r>
    </w:p>
    <w:p>
      <w:r>
        <w:t xml:space="preserve">Риск случайной гибели и расходы содержания переходят </w:t>
      </w:r>
      <w:r>
        <w:rPr>
          <w:color w:val="245878"/>
        </w:rPr>
        <w:t>[согласованный момент с учётом закона]</w:t>
      </w:r>
      <w:r>
        <w:t>. При приостановлении стороны предоставляют необходимые документы и согласуют дальнейшие действия, не подменяя решение регистратора.</w:t>
      </w:r>
    </w:p>
    <w:p>
      <w:pPr>
        <w:pStyle w:val="Heading1"/>
      </w:pPr>
      <w:r>
        <w:t>6. Заключительные условия</w:t>
      </w:r>
    </w:p>
    <w:p>
      <w:r>
        <w:t>Изменения оформляются письменным соглашением сторон, если закон не предусматривает иной порядок. Приложения, подписанные сторонами, являются частью договора.</w:t>
      </w:r>
    </w:p>
    <w:p>
      <w:r>
        <w:t xml:space="preserve">Юридически значимые сообщения направляются по адресам сторон: </w:t>
      </w:r>
      <w:r>
        <w:rPr>
          <w:color w:val="245878"/>
        </w:rPr>
        <w:t>[почтовые адреса и согласованные каналы]</w:t>
      </w:r>
      <w:r>
        <w:t>. Изменение реквизитов сообщается другой стороне без неоправданной задержки.</w:t>
      </w:r>
    </w:p>
    <w:p>
      <w:r>
        <w:t>Споры стороны стремятся урегулировать переговорами. Если обязателен претензионный порядок, он соблюдается. При отсутствии соглашения спор рассматривается компетентным судом по правилам закона.</w:t>
      </w:r>
    </w:p>
    <w:p>
      <w:r>
        <w:t xml:space="preserve">Договор составлен в </w:t>
      </w:r>
      <w:r>
        <w:rPr>
          <w:color w:val="245878"/>
        </w:rPr>
        <w:t>[количество]</w:t>
      </w:r>
      <w:r>
        <w:t xml:space="preserve"> экземплярах, по одному для каждой стороны и при необходимости для иных участников оформления. Неурегулированные вопросы разрешаются по законодательству Российской Федерации.</w:t>
      </w:r>
    </w:p>
    <w:p>
      <w:pPr>
        <w:pStyle w:val="Heading1"/>
      </w:pPr>
      <w:r>
        <w:t>7. Реквизиты и подписи</w:t>
      </w:r>
    </w:p>
    <w:p>
      <w:r>
        <w:t xml:space="preserve">Продавец: </w:t>
      </w:r>
      <w:r>
        <w:rPr>
          <w:color w:val="245878"/>
        </w:rPr>
        <w:t>[полное имя/наименование; адрес; паспорт или ИНН/ОГРН; представитель и полномочия; банковские реквизиты при расчётах; контакт]</w:t>
      </w:r>
      <w:r>
        <w:t>. Подпись: ______________ /</w:t>
      </w:r>
      <w:r>
        <w:rPr>
          <w:color w:val="245878"/>
        </w:rPr>
        <w:t>[Ф.И.О.]</w:t>
      </w:r>
      <w:r>
        <w:t>/</w:t>
      </w:r>
    </w:p>
    <w:p>
      <w:r>
        <w:t xml:space="preserve">Покупатель: </w:t>
      </w:r>
      <w:r>
        <w:rPr>
          <w:color w:val="245878"/>
        </w:rPr>
        <w:t>[полное имя/наименование; адрес; паспорт или ИНН/ОГРН; представитель и полномочия; банковские реквизиты при расчётах; контакт]</w:t>
      </w:r>
      <w:r>
        <w:t>. Подпись: ______________ /</w:t>
      </w:r>
      <w:r>
        <w:rPr>
          <w:color w:val="245878"/>
        </w:rPr>
        <w:t>[Ф.И.О.]</w:t>
      </w:r>
      <w:r>
        <w:t>/</w:t>
      </w:r>
    </w:p>
    <w:p>
      <w:r>
        <w:br w:type="page"/>
      </w:r>
    </w:p>
    <w:p>
      <w:pPr>
        <w:pStyle w:val="Title"/>
      </w:pPr>
      <w:r>
        <w:t>Памятка к шаблону</w:t>
      </w:r>
    </w:p>
    <w:p>
      <w:r>
        <w:t>Служебная часть. Не входит в подписываемый документ.</w:t>
      </w:r>
    </w:p>
    <w:p>
      <w:pPr>
        <w:pStyle w:val="Heading1"/>
      </w:pPr>
      <w:r>
        <w:t>Для какой ситуации</w:t>
      </w:r>
    </w:p>
    <w:p>
      <w:r>
        <w:t>Возмездная продажа: гараж как самостоятельный объект недвижимости. Базовый сценарий без ипотеки, материнского капитала, несовершеннолетних собственников и продажи доли.</w:t>
      </w:r>
    </w:p>
    <w:p>
      <w:pPr>
        <w:pStyle w:val="Heading1"/>
      </w:pPr>
      <w:r>
        <w:t>Перед заполнением</w:t>
      </w:r>
    </w:p>
    <w:p>
      <w:pPr>
        <w:pStyle w:val="ListBullet"/>
      </w:pPr>
      <w:r>
        <w:t>Заполните все поля в квадратных скобках. Даты, суммы и реквизиты в образце намеренно не подставлены.</w:t>
      </w:r>
    </w:p>
    <w:p>
      <w:pPr>
        <w:pStyle w:val="ListBullet"/>
      </w:pPr>
      <w:r>
        <w:t>Выберите подходящие варианты условий, удалите неприменимые варианты и служебные подсказки. Не оставляйте пустые существенные условия.</w:t>
      </w:r>
    </w:p>
    <w:p>
      <w:pPr>
        <w:pStyle w:val="ListBullet"/>
      </w:pPr>
      <w:r>
        <w:t>Сверьте документы сторон, полномочия подписантов, сведения об объекте и приложения. Не подписывайте неподтверждённые заверения.</w:t>
      </w:r>
    </w:p>
    <w:p>
      <w:pPr>
        <w:pStyle w:val="ListBullet"/>
      </w:pPr>
      <w:r>
        <w:t>Это исходная заготовка, а не проверка вашей сделки. Перед использованием обсудите заполнение с юристом или бухгалтером.</w:t>
      </w:r>
    </w:p>
    <w:p>
      <w:pPr>
        <w:pStyle w:val="ListBullet"/>
      </w:pPr>
      <w:r>
        <w:t>До подписания проверьте ЕГРН, историю права, дееспособность, семейный статус, полномочия и необходимость нотариальной формы.</w:t>
      </w:r>
    </w:p>
    <w:p>
      <w:pPr>
        <w:pStyle w:val="ListBullet"/>
      </w:pPr>
      <w:r>
        <w:t>Для долей, несовершеннолетних, ипотеки, рассрочки и специальных источников финансирования необходима индивидуальная редакция.</w:t>
      </w:r>
    </w:p>
    <w:p>
      <w:pPr>
        <w:pStyle w:val="ListBullet"/>
      </w:pPr>
      <w:r>
        <w:t>Для гаража этот образец не подходит для одной лишь передачи членства/пая; для участка проверьте специальные ограничения и преимущественные права.</w:t>
      </w:r>
    </w:p>
    <w:p>
      <w:pPr>
        <w:pStyle w:val="Heading1"/>
      </w:pPr>
      <w:r>
        <w:t>Помощь с документом</w:t>
      </w:r>
    </w:p>
    <w:p>
      <w:r>
        <w:t>Можно использовать заготовку самостоятельно. Если условия вызывают вопросы, обратитесь в СОФЮР ГРУПП: специалист поможет проверить применимость и заполнение. Объём и стоимость помощи согласуются отдельно.</w:t>
      </w:r>
    </w:p>
    <w:p>
      <w:r>
        <w:t>Страница материала: https://sofur.ru/document-garage-sale.html</w:t>
      </w:r>
    </w:p>
    <w:p>
      <w:pPr>
        <w:pStyle w:val="Heading1"/>
      </w:pPr>
      <w:r>
        <w:t>Источники для проверки</w:t>
      </w:r>
    </w:p>
    <w:p>
      <w:r>
        <w:t>Гражданский кодекс РФ, части первая и вторая</w:t>
        <w:br/>
        <w:t>https://pravo.gov.ru/</w:t>
      </w:r>
    </w:p>
    <w:p>
      <w:r>
        <w:t>Редакция заготовки: 2026-10-17. Наличие источников не является отметкой о персональной юридической проверке. Требования и применимость проверяются на дату использования.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Редакционный шаблон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СОФЮР ГРУПП  |  БИБЛИОТЕКА ДОКУМЕНТОВ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263D39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263D39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263D39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ep:Properties xmlns:ep="http://schemas.openxmlformats.org/officeDocument/2006/extended-properties" xmlns:vt="http://schemas.openxmlformats.org/officeDocument/2006/docPropsVTypes">
  <ep:DocSecurity>0</ep:DocSecurity>
  <ep:ScaleCrop>false</ep:ScaleCrop>
  <ep:HeadingPairs>
    <vt:vector size="2" baseType="variant">
      <vt:variant>
        <vt:lpstr>Title</vt:lpstr>
      </vt:variant>
      <vt:variant>
        <vt:i4>1</vt:i4>
      </vt:variant>
    </vt:vector>
  </ep:HeadingPairs>
  <ep:TitlesOfParts>
    <vt:vector size="1" baseType="lpstr">
      <vt:lpstr/>
    </vt:vector>
  </ep:TitlesOfParts>
  <ep:Manager/>
  <ep:Company>СОФЮР ГРУПП</ep:Company>
  <ep:LinksUpToDate>false</ep:LinksUpToDate>
  <ep:SharedDoc>false</ep:SharedDoc>
  <ep:HyperlinkBase/>
  <ep:HyperlinksChanged>false</ep:HyperlinksChanged>
</e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купли-продажи гаража</dc:title>
  <dc:subject>Редактируемый шаблон; не индивидуальное юридическое заключение</dc:subject>
  <dc:creator>Редакция СОФЮР ГРУПП</dc:creator>
  <cp:keywords/>
  <dc:description>Редакционный шаблон для заполнения. Библиотека документов СОФЮР ГРУПП.</dc:description>
  <cp:lastModifiedBy>Редакция СОФЮР ГРУПП</cp:lastModifiedBy>
  <cp:revision>1</cp:revision>
  <dcterms:created xsi:type="dcterms:W3CDTF">2026-10-17T00:00:00Z</dcterms:created>
  <dcterms:modified xsi:type="dcterms:W3CDTF">2026-10-17T00:00:00Z</dcterms:modified>
  <cp:category/>
</cp:coreProperties>
</file>