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купли-продажи земельного участка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«Продавец»,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«Покупатель», заключили настоящий договор о нижеследующем.</w:t>
      </w:r>
    </w:p>
    <w:p>
      <w:pPr>
        <w:pStyle w:val="Heading1"/>
      </w:pPr>
      <w:r>
        <w:t>2. Предмет</w:t>
      </w:r>
    </w:p>
    <w:p>
      <w:r>
        <w:t>Продавец обязуется передать в собственность Покупателю земельный участок, а Покупатель принять объект и уплатить цену.</w:t>
      </w:r>
    </w:p>
    <w:p>
      <w:r>
        <w:t xml:space="preserve">Адрес/местоположение: </w:t>
      </w:r>
      <w:r>
        <w:rPr>
          <w:color w:val="245878"/>
        </w:rPr>
        <w:t>[сведения]</w:t>
      </w:r>
      <w:r>
        <w:t xml:space="preserve">. Кадастровый номер: </w:t>
      </w:r>
      <w:r>
        <w:rPr>
          <w:color w:val="245878"/>
        </w:rPr>
        <w:t>[номер]</w:t>
      </w:r>
      <w:r>
        <w:t xml:space="preserve">. Площадь: </w:t>
      </w:r>
      <w:r>
        <w:rPr>
          <w:color w:val="245878"/>
        </w:rPr>
        <w:t>[значение]</w:t>
      </w:r>
      <w:r>
        <w:t xml:space="preserve">. Категория земель: </w:t>
      </w:r>
      <w:r>
        <w:rPr>
          <w:color w:val="245878"/>
        </w:rPr>
        <w:t>[категория]</w:t>
      </w:r>
      <w:r>
        <w:t xml:space="preserve">. Вид разрешённого использования: </w:t>
      </w:r>
      <w:r>
        <w:rPr>
          <w:color w:val="245878"/>
        </w:rPr>
        <w:t>[вид]</w:t>
      </w:r>
      <w:r>
        <w:t>.</w:t>
      </w:r>
    </w:p>
    <w:p>
      <w:r>
        <w:t xml:space="preserve">Право Продавца зарегистрировано: </w:t>
      </w:r>
      <w:r>
        <w:rPr>
          <w:color w:val="245878"/>
        </w:rPr>
        <w:t>[номер записи, дата, документ-основание]</w:t>
      </w:r>
      <w:r>
        <w:t xml:space="preserve">. Актуальные сведения ЕГРН: </w:t>
      </w:r>
      <w:r>
        <w:rPr>
          <w:color w:val="245878"/>
        </w:rPr>
        <w:t>[дата выписки]</w:t>
      </w:r>
      <w:r>
        <w:t>.</w:t>
      </w:r>
    </w:p>
    <w:p>
      <w:r>
        <w:t xml:space="preserve">Границы, доступ, сервитуты, зоны с особыми условиями использования, ограничения оборотоспособности: </w:t>
      </w:r>
      <w:r>
        <w:rPr>
          <w:color w:val="245878"/>
        </w:rPr>
        <w:t>[сведения ЕГРН и проверок]</w:t>
      </w:r>
      <w:r>
        <w:t xml:space="preserve">. Расположенные на участке строения и права на них: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3. Цена и расчёты</w:t>
      </w:r>
    </w:p>
    <w:p>
      <w:r>
        <w:t xml:space="preserve">Общая цена: </w:t>
      </w:r>
      <w:r>
        <w:rPr>
          <w:color w:val="245878"/>
        </w:rPr>
        <w:t>[сумма цифрами и прописью]</w:t>
      </w:r>
      <w:r>
        <w:t xml:space="preserve"> рублей. Для нескольких объектов цена каждого: </w:t>
      </w:r>
      <w:r>
        <w:rPr>
          <w:color w:val="245878"/>
        </w:rPr>
        <w:t>[объект — цена]</w:t>
      </w:r>
      <w:r>
        <w:t>. Изменение цены допускается только по письменному соглашению.</w:t>
      </w:r>
    </w:p>
    <w:p>
      <w:r>
        <w:t xml:space="preserve">Способ безопасных расчётов: </w:t>
      </w:r>
      <w:r>
        <w:rPr>
          <w:color w:val="245878"/>
        </w:rPr>
        <w:t>[аккредитив / счёт эскроу / иной согласованный способ]</w:t>
      </w:r>
      <w:r>
        <w:t xml:space="preserve">. Плательщик, получатель и реквизиты: </w:t>
      </w:r>
      <w:r>
        <w:rPr>
          <w:color w:val="245878"/>
        </w:rPr>
        <w:t>[сведения]</w:t>
      </w:r>
      <w:r>
        <w:t xml:space="preserve">. Внесение средств: </w:t>
      </w:r>
      <w:r>
        <w:rPr>
          <w:color w:val="245878"/>
        </w:rPr>
        <w:t>[срок]</w:t>
      </w:r>
      <w:r>
        <w:t xml:space="preserve">. Условия раскрытия/перечисления: </w:t>
      </w:r>
      <w:r>
        <w:rPr>
          <w:color w:val="245878"/>
        </w:rPr>
        <w:t>[исчерпывающий перечень документов и событий]</w:t>
      </w:r>
      <w:r>
        <w:t>.</w:t>
      </w:r>
    </w:p>
    <w:p>
      <w:r>
        <w:t xml:space="preserve">Если переход права не зарегистрирован, порядок возврата денег: </w:t>
      </w:r>
      <w:r>
        <w:rPr>
          <w:color w:val="245878"/>
        </w:rPr>
        <w:t>[условия и срок]</w:t>
      </w:r>
      <w:r>
        <w:t>. Получение оплаты подтверждается отдельными платёжными документами, а не фактом подписания договора.</w:t>
      </w:r>
    </w:p>
    <w:p>
      <w:pPr>
        <w:pStyle w:val="Heading1"/>
      </w:pPr>
      <w:r>
        <w:t>4. Состояние и правовые обстоятельства</w:t>
      </w:r>
    </w:p>
    <w:p>
      <w:r>
        <w:t xml:space="preserve">Известные дефекты, переустройства, права третьих лиц, аренда, залоги, судебные споры и запреты: </w:t>
      </w:r>
      <w:r>
        <w:rPr>
          <w:color w:val="245878"/>
        </w:rPr>
        <w:t>[перечень / подтверждённое отсутствие]</w:t>
      </w:r>
      <w:r>
        <w:t>.</w:t>
      </w:r>
    </w:p>
    <w:p>
      <w:r>
        <w:t xml:space="preserve">Согласия супруга, сособственников, органов опеки и иные необходимые документы: </w:t>
      </w:r>
      <w:r>
        <w:rPr>
          <w:color w:val="245878"/>
        </w:rPr>
        <w:t>[перечень и реквизиты либо основания неприменимости]</w:t>
      </w:r>
      <w:r>
        <w:t>. Каждая сторона сообщает известные обстоятельства, способные препятствовать сделке.</w:t>
      </w:r>
    </w:p>
    <w:p>
      <w:pPr>
        <w:pStyle w:val="Heading1"/>
      </w:pPr>
      <w:r>
        <w:t>5. Передача и регистрация</w:t>
      </w:r>
    </w:p>
    <w:p>
      <w:r>
        <w:t xml:space="preserve">Фактическая передача и освобождение объекта: </w:t>
      </w:r>
      <w:r>
        <w:rPr>
          <w:color w:val="245878"/>
        </w:rPr>
        <w:t>[дата/срок]</w:t>
      </w:r>
      <w:r>
        <w:t>. Состояние, ключи, документы и показания приборов фиксируются отдельным актом.</w:t>
      </w:r>
    </w:p>
    <w:p>
      <w:r>
        <w:t xml:space="preserve">Стороны подают документы на государственную регистрацию перехода права в срок </w:t>
      </w:r>
      <w:r>
        <w:rPr>
          <w:color w:val="245878"/>
        </w:rPr>
        <w:t>[срок]</w:t>
      </w:r>
      <w:r>
        <w:t xml:space="preserve">. Расходы несёт </w:t>
      </w:r>
      <w:r>
        <w:rPr>
          <w:color w:val="245878"/>
        </w:rPr>
        <w:t>[сторона/распределение]</w:t>
      </w:r>
      <w:r>
        <w:t>. Право собственности Покупателя возникает после государственной регистрации.</w:t>
      </w:r>
    </w:p>
    <w:p>
      <w:r>
        <w:t xml:space="preserve">Риск случайной гибели и расходы содержания переходят </w:t>
      </w:r>
      <w:r>
        <w:rPr>
          <w:color w:val="245878"/>
        </w:rPr>
        <w:t>[согласованный момент с учётом закона]</w:t>
      </w:r>
      <w:r>
        <w:t>. При приостановлении стороны предоставляют необходимые документы и согласуют дальнейшие действия, не подменяя решение регистратора.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Продавец: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Возмездная продажа: земельный участок. Базовый сценарий без ипотеки, материнского капитала, несовершеннолетних собственников и продажи доли.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До подписания проверьте ЕГРН, историю права, дееспособность, семейный статус, полномочия и необходимость нотариальной формы.</w:t>
      </w:r>
    </w:p>
    <w:p>
      <w:pPr>
        <w:pStyle w:val="ListBullet"/>
      </w:pPr>
      <w:r>
        <w:t>Для долей, несовершеннолетних, ипотеки, рассрочки и специальных источников финансирования необходима индивидуальная редакция.</w:t>
      </w:r>
    </w:p>
    <w:p>
      <w:pPr>
        <w:pStyle w:val="ListBullet"/>
      </w:pPr>
      <w:r>
        <w:t>Для гаража этот образец не подходит для одной лишь передачи членства/пая; для участка проверьте специальные ограничения и преимущественные права.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https://sofur.ru/document-land-sale.html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земельного участка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